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C153B">
      <w:pPr>
        <w:rPr>
          <w:rFonts w:ascii="黑体" w:hAnsi="黑体" w:eastAsia="黑体"/>
          <w:b/>
          <w:sz w:val="30"/>
          <w:szCs w:val="30"/>
        </w:rPr>
      </w:pPr>
      <w:bookmarkStart w:id="0" w:name="_GoBack"/>
      <w:bookmarkEnd w:id="0"/>
      <w:r>
        <w:rPr>
          <w:rFonts w:hint="eastAsia" w:ascii="黑体" w:hAnsi="黑体" w:eastAsia="黑体"/>
          <w:b/>
          <w:sz w:val="30"/>
          <w:szCs w:val="30"/>
        </w:rPr>
        <w:t>附件3</w:t>
      </w:r>
    </w:p>
    <w:p w14:paraId="7D019417">
      <w:pPr>
        <w:jc w:val="center"/>
      </w:pPr>
      <w:r>
        <w:rPr>
          <w:rFonts w:hint="eastAsia"/>
          <w:b/>
          <w:sz w:val="40"/>
        </w:rPr>
        <w:t>报  价  函</w:t>
      </w:r>
    </w:p>
    <w:p w14:paraId="3AACD87D">
      <w:pPr>
        <w:rPr>
          <w:b/>
          <w:sz w:val="24"/>
        </w:rPr>
      </w:pPr>
    </w:p>
    <w:tbl>
      <w:tblPr>
        <w:tblStyle w:val="4"/>
        <w:tblW w:w="9427" w:type="dxa"/>
        <w:jc w:val="center"/>
        <w:tblLayout w:type="fixed"/>
        <w:tblCellMar>
          <w:top w:w="0" w:type="dxa"/>
          <w:left w:w="108" w:type="dxa"/>
          <w:bottom w:w="0" w:type="dxa"/>
          <w:right w:w="108" w:type="dxa"/>
        </w:tblCellMar>
      </w:tblPr>
      <w:tblGrid>
        <w:gridCol w:w="3113"/>
        <w:gridCol w:w="6314"/>
      </w:tblGrid>
      <w:tr w14:paraId="1F2AC0D4">
        <w:tblPrEx>
          <w:tblCellMar>
            <w:top w:w="0" w:type="dxa"/>
            <w:left w:w="108" w:type="dxa"/>
            <w:bottom w:w="0" w:type="dxa"/>
            <w:right w:w="108" w:type="dxa"/>
          </w:tblCellMar>
        </w:tblPrEx>
        <w:trPr>
          <w:trHeight w:val="1464" w:hRule="atLeast"/>
          <w:jc w:val="center"/>
        </w:trPr>
        <w:tc>
          <w:tcPr>
            <w:tcW w:w="3113" w:type="dxa"/>
            <w:tcBorders>
              <w:top w:val="single" w:color="000000" w:sz="4" w:space="0"/>
              <w:left w:val="single" w:color="auto" w:sz="4" w:space="0"/>
              <w:bottom w:val="single" w:color="auto" w:sz="4" w:space="0"/>
              <w:right w:val="single" w:color="auto" w:sz="4" w:space="0"/>
            </w:tcBorders>
            <w:vAlign w:val="center"/>
          </w:tcPr>
          <w:p w14:paraId="4A5C61F5">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报价</w:t>
            </w:r>
          </w:p>
        </w:tc>
        <w:tc>
          <w:tcPr>
            <w:tcW w:w="6314" w:type="dxa"/>
            <w:tcBorders>
              <w:top w:val="single" w:color="auto" w:sz="4" w:space="0"/>
              <w:left w:val="nil"/>
              <w:bottom w:val="single" w:color="auto" w:sz="4" w:space="0"/>
              <w:right w:val="single" w:color="auto" w:sz="4" w:space="0"/>
            </w:tcBorders>
            <w:vAlign w:val="center"/>
          </w:tcPr>
          <w:p w14:paraId="6527FA42">
            <w:pPr>
              <w:spacing w:line="360" w:lineRule="auto"/>
              <w:rPr>
                <w:rFonts w:ascii="宋体" w:hAnsi="宋体" w:eastAsia="宋体" w:cs="Times New Roman"/>
                <w:sz w:val="24"/>
                <w:szCs w:val="24"/>
              </w:rPr>
            </w:pP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（大写）元人民币，小写：</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w:t>
            </w:r>
          </w:p>
        </w:tc>
      </w:tr>
      <w:tr w14:paraId="5414E719">
        <w:tblPrEx>
          <w:tblCellMar>
            <w:top w:w="0" w:type="dxa"/>
            <w:left w:w="108" w:type="dxa"/>
            <w:bottom w:w="0" w:type="dxa"/>
            <w:right w:w="108" w:type="dxa"/>
          </w:tblCellMar>
        </w:tblPrEx>
        <w:trPr>
          <w:trHeight w:val="527" w:hRule="atLeast"/>
          <w:jc w:val="center"/>
        </w:trPr>
        <w:tc>
          <w:tcPr>
            <w:tcW w:w="3113" w:type="dxa"/>
            <w:tcBorders>
              <w:top w:val="single" w:color="auto" w:sz="4" w:space="0"/>
              <w:left w:val="single" w:color="auto" w:sz="4" w:space="0"/>
              <w:right w:val="single" w:color="auto" w:sz="4" w:space="0"/>
            </w:tcBorders>
            <w:vAlign w:val="center"/>
          </w:tcPr>
          <w:p w14:paraId="53E44E9D">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项目负责人</w:t>
            </w:r>
          </w:p>
        </w:tc>
        <w:tc>
          <w:tcPr>
            <w:tcW w:w="6314" w:type="dxa"/>
            <w:tcBorders>
              <w:top w:val="single" w:color="auto" w:sz="4" w:space="0"/>
              <w:left w:val="nil"/>
              <w:bottom w:val="single" w:color="auto" w:sz="4" w:space="0"/>
              <w:right w:val="single" w:color="auto" w:sz="4" w:space="0"/>
            </w:tcBorders>
            <w:vAlign w:val="center"/>
          </w:tcPr>
          <w:p w14:paraId="67CA4C81">
            <w:pPr>
              <w:spacing w:line="600" w:lineRule="auto"/>
              <w:rPr>
                <w:rFonts w:ascii="宋体" w:hAnsi="Times New Roman" w:eastAsia="宋体" w:cs="宋体"/>
                <w:sz w:val="24"/>
                <w:szCs w:val="24"/>
              </w:rPr>
            </w:pPr>
            <w:r>
              <w:rPr>
                <w:rFonts w:hint="eastAsia" w:ascii="宋体" w:hAnsi="Times New Roman" w:eastAsia="宋体" w:cs="宋体"/>
                <w:sz w:val="24"/>
                <w:szCs w:val="24"/>
              </w:rPr>
              <w:t>姓名：          电话：</w:t>
            </w:r>
          </w:p>
        </w:tc>
      </w:tr>
      <w:tr w14:paraId="5925E126">
        <w:tblPrEx>
          <w:tblCellMar>
            <w:top w:w="0" w:type="dxa"/>
            <w:left w:w="108" w:type="dxa"/>
            <w:bottom w:w="0" w:type="dxa"/>
            <w:right w:w="108" w:type="dxa"/>
          </w:tblCellMar>
        </w:tblPrEx>
        <w:trPr>
          <w:trHeight w:val="812" w:hRule="atLeast"/>
          <w:jc w:val="center"/>
        </w:trPr>
        <w:tc>
          <w:tcPr>
            <w:tcW w:w="3113" w:type="dxa"/>
            <w:tcBorders>
              <w:top w:val="single" w:color="auto" w:sz="4" w:space="0"/>
              <w:left w:val="single" w:color="auto" w:sz="4" w:space="0"/>
              <w:bottom w:val="single" w:color="auto" w:sz="4" w:space="0"/>
              <w:right w:val="single" w:color="auto" w:sz="4" w:space="0"/>
            </w:tcBorders>
            <w:vAlign w:val="center"/>
          </w:tcPr>
          <w:p w14:paraId="573A2B84">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项目工期</w:t>
            </w:r>
          </w:p>
        </w:tc>
        <w:tc>
          <w:tcPr>
            <w:tcW w:w="6314" w:type="dxa"/>
            <w:tcBorders>
              <w:top w:val="single" w:color="auto" w:sz="4" w:space="0"/>
              <w:left w:val="nil"/>
              <w:bottom w:val="single" w:color="auto" w:sz="4" w:space="0"/>
              <w:right w:val="single" w:color="auto" w:sz="4" w:space="0"/>
            </w:tcBorders>
            <w:vAlign w:val="center"/>
          </w:tcPr>
          <w:p w14:paraId="6B947F62">
            <w:pPr>
              <w:spacing w:line="480" w:lineRule="auto"/>
              <w:rPr>
                <w:rFonts w:ascii="Arial" w:hAnsi="Arial" w:eastAsia="宋体" w:cs="Times New Roman"/>
                <w:kern w:val="0"/>
                <w:sz w:val="24"/>
                <w:szCs w:val="24"/>
              </w:rPr>
            </w:pPr>
          </w:p>
        </w:tc>
      </w:tr>
      <w:tr w14:paraId="63334987">
        <w:tblPrEx>
          <w:tblCellMar>
            <w:top w:w="0" w:type="dxa"/>
            <w:left w:w="108" w:type="dxa"/>
            <w:bottom w:w="0" w:type="dxa"/>
            <w:right w:w="108" w:type="dxa"/>
          </w:tblCellMar>
        </w:tblPrEx>
        <w:trPr>
          <w:trHeight w:val="686" w:hRule="atLeast"/>
          <w:jc w:val="center"/>
        </w:trPr>
        <w:tc>
          <w:tcPr>
            <w:tcW w:w="3113" w:type="dxa"/>
            <w:tcBorders>
              <w:top w:val="single" w:color="auto" w:sz="4" w:space="0"/>
              <w:left w:val="single" w:color="auto" w:sz="4" w:space="0"/>
              <w:bottom w:val="single" w:color="auto" w:sz="4" w:space="0"/>
              <w:right w:val="single" w:color="auto" w:sz="4" w:space="0"/>
            </w:tcBorders>
            <w:vAlign w:val="center"/>
          </w:tcPr>
          <w:p w14:paraId="2719129B">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质保期</w:t>
            </w:r>
            <w:r>
              <w:rPr>
                <w:rFonts w:ascii="Times New Roman" w:hAnsi="Times New Roman" w:eastAsia="宋体" w:cs="Times New Roman"/>
                <w:b/>
                <w:sz w:val="24"/>
                <w:szCs w:val="24"/>
              </w:rPr>
              <w:t>(不少于</w:t>
            </w:r>
            <w:r>
              <w:rPr>
                <w:rFonts w:hint="eastAsia" w:ascii="Times New Roman" w:hAnsi="Times New Roman" w:eastAsia="宋体" w:cs="Times New Roman"/>
                <w:b/>
                <w:sz w:val="24"/>
                <w:szCs w:val="24"/>
              </w:rPr>
              <w:t>5年)</w:t>
            </w:r>
          </w:p>
        </w:tc>
        <w:tc>
          <w:tcPr>
            <w:tcW w:w="6314" w:type="dxa"/>
            <w:tcBorders>
              <w:top w:val="single" w:color="auto" w:sz="4" w:space="0"/>
              <w:left w:val="nil"/>
              <w:bottom w:val="single" w:color="auto" w:sz="4" w:space="0"/>
              <w:right w:val="single" w:color="auto" w:sz="4" w:space="0"/>
            </w:tcBorders>
            <w:vAlign w:val="center"/>
          </w:tcPr>
          <w:p w14:paraId="2A13DD28">
            <w:pPr>
              <w:spacing w:line="480" w:lineRule="auto"/>
              <w:rPr>
                <w:rFonts w:ascii="Arial" w:hAnsi="Arial" w:eastAsia="宋体" w:cs="Times New Roman"/>
                <w:kern w:val="0"/>
                <w:sz w:val="24"/>
                <w:szCs w:val="24"/>
              </w:rPr>
            </w:pPr>
          </w:p>
        </w:tc>
      </w:tr>
      <w:tr w14:paraId="6380ED2A">
        <w:tblPrEx>
          <w:tblCellMar>
            <w:top w:w="0" w:type="dxa"/>
            <w:left w:w="108" w:type="dxa"/>
            <w:bottom w:w="0" w:type="dxa"/>
            <w:right w:w="108" w:type="dxa"/>
          </w:tblCellMar>
        </w:tblPrEx>
        <w:trPr>
          <w:trHeight w:val="794" w:hRule="atLeast"/>
          <w:jc w:val="center"/>
        </w:trPr>
        <w:tc>
          <w:tcPr>
            <w:tcW w:w="3113" w:type="dxa"/>
            <w:tcBorders>
              <w:top w:val="single" w:color="auto" w:sz="4" w:space="0"/>
              <w:left w:val="single" w:color="auto" w:sz="4" w:space="0"/>
              <w:bottom w:val="single" w:color="auto" w:sz="4" w:space="0"/>
              <w:right w:val="single" w:color="auto" w:sz="4" w:space="0"/>
            </w:tcBorders>
            <w:vAlign w:val="center"/>
          </w:tcPr>
          <w:p w14:paraId="734237BC">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投标有效期（不少于90天）</w:t>
            </w:r>
          </w:p>
        </w:tc>
        <w:tc>
          <w:tcPr>
            <w:tcW w:w="6314" w:type="dxa"/>
            <w:tcBorders>
              <w:top w:val="single" w:color="auto" w:sz="4" w:space="0"/>
              <w:left w:val="nil"/>
              <w:bottom w:val="single" w:color="auto" w:sz="4" w:space="0"/>
              <w:right w:val="single" w:color="auto" w:sz="4" w:space="0"/>
            </w:tcBorders>
            <w:vAlign w:val="center"/>
          </w:tcPr>
          <w:p w14:paraId="592F78E4">
            <w:pPr>
              <w:spacing w:line="360" w:lineRule="auto"/>
              <w:rPr>
                <w:rFonts w:ascii="Arial" w:hAnsi="Arial" w:eastAsia="宋体" w:cs="Times New Roman"/>
                <w:sz w:val="24"/>
                <w:szCs w:val="24"/>
              </w:rPr>
            </w:pPr>
          </w:p>
        </w:tc>
      </w:tr>
      <w:tr w14:paraId="651AD1D8">
        <w:tblPrEx>
          <w:tblCellMar>
            <w:top w:w="0" w:type="dxa"/>
            <w:left w:w="108" w:type="dxa"/>
            <w:bottom w:w="0" w:type="dxa"/>
            <w:right w:w="108" w:type="dxa"/>
          </w:tblCellMar>
        </w:tblPrEx>
        <w:trPr>
          <w:trHeight w:val="706" w:hRule="atLeast"/>
          <w:jc w:val="center"/>
        </w:trPr>
        <w:tc>
          <w:tcPr>
            <w:tcW w:w="3113" w:type="dxa"/>
            <w:tcBorders>
              <w:top w:val="single" w:color="auto" w:sz="4" w:space="0"/>
              <w:left w:val="single" w:color="auto" w:sz="4" w:space="0"/>
              <w:bottom w:val="single" w:color="auto" w:sz="4" w:space="0"/>
              <w:right w:val="single" w:color="auto" w:sz="4" w:space="0"/>
            </w:tcBorders>
            <w:vAlign w:val="center"/>
          </w:tcPr>
          <w:p w14:paraId="32876929">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质量要求</w:t>
            </w:r>
          </w:p>
        </w:tc>
        <w:tc>
          <w:tcPr>
            <w:tcW w:w="6314" w:type="dxa"/>
            <w:tcBorders>
              <w:top w:val="single" w:color="auto" w:sz="4" w:space="0"/>
              <w:left w:val="nil"/>
              <w:bottom w:val="single" w:color="auto" w:sz="4" w:space="0"/>
              <w:right w:val="single" w:color="auto" w:sz="4" w:space="0"/>
            </w:tcBorders>
            <w:vAlign w:val="center"/>
          </w:tcPr>
          <w:p w14:paraId="3909A63C">
            <w:pPr>
              <w:spacing w:line="360" w:lineRule="auto"/>
              <w:rPr>
                <w:rFonts w:ascii="Arial" w:hAnsi="Arial" w:eastAsia="宋体" w:cs="Times New Roman"/>
                <w:sz w:val="24"/>
                <w:szCs w:val="24"/>
              </w:rPr>
            </w:pPr>
            <w:r>
              <w:rPr>
                <w:rFonts w:hint="eastAsia" w:ascii="Arial" w:hAnsi="Arial" w:eastAsia="宋体" w:cs="Times New Roman"/>
                <w:sz w:val="24"/>
                <w:szCs w:val="24"/>
              </w:rPr>
              <w:t>符合国家质量验收标准及采购人要求。</w:t>
            </w:r>
          </w:p>
        </w:tc>
      </w:tr>
      <w:tr w14:paraId="122D73D4">
        <w:tblPrEx>
          <w:tblCellMar>
            <w:top w:w="0" w:type="dxa"/>
            <w:left w:w="108" w:type="dxa"/>
            <w:bottom w:w="0" w:type="dxa"/>
            <w:right w:w="108" w:type="dxa"/>
          </w:tblCellMar>
        </w:tblPrEx>
        <w:trPr>
          <w:trHeight w:val="844" w:hRule="atLeast"/>
          <w:jc w:val="center"/>
        </w:trPr>
        <w:tc>
          <w:tcPr>
            <w:tcW w:w="3113" w:type="dxa"/>
            <w:tcBorders>
              <w:top w:val="single" w:color="auto" w:sz="4" w:space="0"/>
              <w:left w:val="single" w:color="auto" w:sz="4" w:space="0"/>
              <w:bottom w:val="single" w:color="auto" w:sz="4" w:space="0"/>
              <w:right w:val="single" w:color="auto" w:sz="4" w:space="0"/>
            </w:tcBorders>
            <w:vAlign w:val="center"/>
          </w:tcPr>
          <w:p w14:paraId="2C889B9A">
            <w:pPr>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备注</w:t>
            </w:r>
          </w:p>
        </w:tc>
        <w:tc>
          <w:tcPr>
            <w:tcW w:w="6314" w:type="dxa"/>
            <w:tcBorders>
              <w:top w:val="single" w:color="auto" w:sz="4" w:space="0"/>
              <w:left w:val="nil"/>
              <w:bottom w:val="single" w:color="auto" w:sz="4" w:space="0"/>
              <w:right w:val="single" w:color="auto" w:sz="4" w:space="0"/>
            </w:tcBorders>
            <w:vAlign w:val="center"/>
          </w:tcPr>
          <w:p w14:paraId="5D34F484">
            <w:pPr>
              <w:rPr>
                <w:rFonts w:ascii="Times New Roman" w:hAnsi="Times New Roman" w:eastAsia="宋体" w:cs="Times New Roman"/>
                <w:sz w:val="24"/>
                <w:szCs w:val="24"/>
              </w:rPr>
            </w:pPr>
          </w:p>
        </w:tc>
      </w:tr>
    </w:tbl>
    <w:p w14:paraId="748CB49C">
      <w:pPr>
        <w:spacing w:line="360" w:lineRule="auto"/>
        <w:rPr>
          <w:rFonts w:ascii="宋体" w:hAnsi="宋体" w:eastAsia="宋体" w:cs="Times New Roman"/>
          <w:b/>
          <w:szCs w:val="21"/>
        </w:rPr>
      </w:pPr>
    </w:p>
    <w:p w14:paraId="69664ECC">
      <w:pPr>
        <w:spacing w:line="360" w:lineRule="auto"/>
        <w:rPr>
          <w:rFonts w:ascii="宋体" w:hAnsi="Times New Roman" w:eastAsia="宋体" w:cs="Times New Roman"/>
          <w:b/>
          <w:szCs w:val="21"/>
        </w:rPr>
      </w:pPr>
      <w:r>
        <w:rPr>
          <w:rFonts w:hint="eastAsia" w:ascii="宋体" w:hAnsi="宋体" w:eastAsia="宋体" w:cs="Times New Roman"/>
          <w:b/>
          <w:szCs w:val="21"/>
        </w:rPr>
        <w:t>注</w:t>
      </w:r>
      <w:r>
        <w:rPr>
          <w:rFonts w:ascii="宋体" w:hAnsi="宋体" w:eastAsia="宋体" w:cs="Times New Roman"/>
          <w:b/>
          <w:szCs w:val="21"/>
        </w:rPr>
        <w:t xml:space="preserve">: </w:t>
      </w:r>
    </w:p>
    <w:p w14:paraId="3204EBB7">
      <w:pPr>
        <w:spacing w:line="480" w:lineRule="auto"/>
        <w:rPr>
          <w:rFonts w:ascii="宋体" w:hAnsi="Times New Roman" w:eastAsia="宋体" w:cs="Times New Roman"/>
          <w:b/>
          <w:szCs w:val="21"/>
        </w:rPr>
      </w:pPr>
      <w:r>
        <w:rPr>
          <w:rFonts w:ascii="宋体" w:hAnsi="宋体" w:eastAsia="宋体" w:cs="Times New Roman"/>
          <w:b/>
          <w:szCs w:val="21"/>
        </w:rPr>
        <w:t>1</w:t>
      </w:r>
      <w:r>
        <w:rPr>
          <w:rFonts w:hint="eastAsia" w:ascii="宋体" w:hAnsi="宋体" w:eastAsia="宋体" w:cs="Times New Roman"/>
          <w:b/>
          <w:szCs w:val="21"/>
        </w:rPr>
        <w:t>、本项目仅接受一个价格，不得填报有选择性报价方案。若有优惠条款须注明，但不得影响报价，影响产品整体功能。</w:t>
      </w:r>
    </w:p>
    <w:p w14:paraId="1D9F276B">
      <w:pPr>
        <w:spacing w:line="440" w:lineRule="exact"/>
        <w:ind w:firstLine="420" w:firstLineChars="200"/>
        <w:jc w:val="right"/>
        <w:rPr>
          <w:rFonts w:ascii="Arial" w:hAnsi="Arial" w:eastAsia="宋体" w:cs="Times New Roman"/>
          <w:szCs w:val="21"/>
        </w:rPr>
      </w:pPr>
      <w:r>
        <w:rPr>
          <w:rFonts w:hint="eastAsia" w:ascii="Arial" w:hAnsi="Arial" w:eastAsia="宋体" w:cs="Times New Roman"/>
          <w:szCs w:val="21"/>
        </w:rPr>
        <w:t>供应商名称（公章）：</w:t>
      </w:r>
    </w:p>
    <w:p w14:paraId="0ECE2CE1">
      <w:pPr>
        <w:spacing w:line="440" w:lineRule="exact"/>
        <w:ind w:firstLine="420" w:firstLineChars="200"/>
        <w:jc w:val="right"/>
        <w:rPr>
          <w:rFonts w:ascii="Arial" w:hAnsi="Arial" w:eastAsia="宋体" w:cs="Times New Roman"/>
          <w:szCs w:val="21"/>
          <w:u w:val="single"/>
        </w:rPr>
      </w:pPr>
      <w:r>
        <w:rPr>
          <w:rFonts w:hint="eastAsia" w:ascii="Arial" w:hAnsi="Arial" w:eastAsia="宋体" w:cs="Times New Roman"/>
          <w:szCs w:val="21"/>
        </w:rPr>
        <w:t>供应商授权代表姓名（签字或签章）：</w:t>
      </w:r>
    </w:p>
    <w:p w14:paraId="5CDBA480">
      <w:pPr>
        <w:spacing w:line="440" w:lineRule="exact"/>
        <w:jc w:val="right"/>
        <w:rPr>
          <w:rFonts w:ascii="Arial" w:hAnsi="Arial" w:eastAsia="宋体" w:cs="Times New Roman"/>
          <w:szCs w:val="21"/>
        </w:rPr>
      </w:pPr>
      <w:r>
        <w:rPr>
          <w:rFonts w:hint="eastAsia" w:ascii="Arial" w:hAnsi="Arial" w:eastAsia="宋体" w:cs="Times New Roman"/>
          <w:szCs w:val="21"/>
        </w:rPr>
        <w:t>日期：  年  月  日</w:t>
      </w:r>
    </w:p>
    <w:p w14:paraId="62E08194">
      <w:pPr>
        <w:jc w:val="right"/>
        <w:rPr>
          <w:rFonts w:ascii="Arial" w:hAnsi="Arial" w:eastAsia="宋体" w:cs="Times New Roman"/>
          <w:szCs w:val="21"/>
        </w:rPr>
      </w:pPr>
    </w:p>
    <w:p w14:paraId="6B8A61A4">
      <w:pPr>
        <w:jc w:val="right"/>
        <w:rPr>
          <w:rFonts w:ascii="Arial" w:hAnsi="Arial" w:eastAsia="宋体" w:cs="Times New Roman"/>
          <w:szCs w:val="21"/>
        </w:rPr>
      </w:pPr>
    </w:p>
    <w:p w14:paraId="4A237084">
      <w:pPr>
        <w:jc w:val="right"/>
        <w:rPr>
          <w:rFonts w:ascii="Arial" w:hAnsi="Arial" w:eastAsia="宋体" w:cs="Times New Roman"/>
          <w:szCs w:val="21"/>
        </w:rPr>
      </w:pPr>
    </w:p>
    <w:p w14:paraId="58EC78F7">
      <w:pPr>
        <w:jc w:val="right"/>
        <w:rPr>
          <w:rFonts w:ascii="Arial" w:hAnsi="Arial" w:eastAsia="宋体" w:cs="Times New Roman"/>
          <w:szCs w:val="21"/>
        </w:rPr>
      </w:pPr>
    </w:p>
    <w:p w14:paraId="09FA335C">
      <w:pPr>
        <w:jc w:val="right"/>
        <w:rPr>
          <w:rFonts w:ascii="Arial" w:hAnsi="Arial" w:eastAsia="宋体" w:cs="Times New Roman"/>
          <w:szCs w:val="21"/>
        </w:rPr>
      </w:pPr>
    </w:p>
    <w:p w14:paraId="5853353C">
      <w:pPr>
        <w:jc w:val="right"/>
        <w:rPr>
          <w:rFonts w:ascii="Arial" w:hAnsi="Arial" w:eastAsia="宋体" w:cs="Times New Roman"/>
          <w:szCs w:val="21"/>
        </w:rPr>
      </w:pPr>
    </w:p>
    <w:p w14:paraId="0C1EE6D1">
      <w:pPr>
        <w:jc w:val="right"/>
        <w:rPr>
          <w:rFonts w:ascii="Arial" w:hAnsi="Arial" w:eastAsia="宋体" w:cs="Times New Roman"/>
          <w:szCs w:val="21"/>
        </w:rPr>
      </w:pPr>
    </w:p>
    <w:p w14:paraId="5DC4396B">
      <w:pPr>
        <w:jc w:val="right"/>
        <w:rPr>
          <w:rFonts w:ascii="Arial" w:hAnsi="Arial" w:eastAsia="宋体" w:cs="Times New Roman"/>
          <w:szCs w:val="21"/>
        </w:rPr>
      </w:pPr>
    </w:p>
    <w:p w14:paraId="1BAE3FA0">
      <w:pPr>
        <w:jc w:val="center"/>
        <w:rPr>
          <w:sz w:val="40"/>
        </w:rPr>
        <w:sectPr>
          <w:pgSz w:w="11906" w:h="16838"/>
          <w:pgMar w:top="1440" w:right="1800" w:bottom="1440" w:left="1800" w:header="851" w:footer="992" w:gutter="0"/>
          <w:cols w:space="425" w:num="1"/>
          <w:docGrid w:type="lines" w:linePitch="312" w:charSpace="0"/>
        </w:sectPr>
      </w:pPr>
    </w:p>
    <w:p w14:paraId="6BDE8188">
      <w:pPr>
        <w:jc w:val="center"/>
        <w:rPr>
          <w:sz w:val="40"/>
        </w:rPr>
      </w:pPr>
      <w:r>
        <w:rPr>
          <w:rFonts w:hint="eastAsia"/>
          <w:sz w:val="40"/>
        </w:rPr>
        <w:t>明细报价表</w:t>
      </w:r>
    </w:p>
    <w:p w14:paraId="506B3C6F">
      <w:pPr>
        <w:rPr>
          <w:rFonts w:hint="eastAsia"/>
        </w:rPr>
      </w:pPr>
      <w:r>
        <w:rPr>
          <w:rFonts w:hint="eastAsia"/>
          <w:b/>
        </w:rPr>
        <w:t xml:space="preserve">注：投标报价时按项目需求中建议品牌选用或自行选择同档次及以上品牌，实施采购前须经采购人确认后方能采购，如采购人认为中标方提供样品不能满足要求，有权在推荐品牌中选择同等档次的产品，中标人不能拒绝，且价格不予调整，各投标人须考虑此风险。                     </w:t>
      </w:r>
      <w:r>
        <w:rPr>
          <w:rFonts w:hint="eastAsia"/>
        </w:rPr>
        <w:t>（单位：元）</w:t>
      </w:r>
    </w:p>
    <w:tbl>
      <w:tblPr>
        <w:tblStyle w:val="5"/>
        <w:tblW w:w="1488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276"/>
        <w:gridCol w:w="8930"/>
        <w:gridCol w:w="709"/>
        <w:gridCol w:w="1559"/>
        <w:gridCol w:w="1280"/>
      </w:tblGrid>
      <w:tr w14:paraId="151F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5" w:type="dxa"/>
            <w:vAlign w:val="center"/>
          </w:tcPr>
          <w:p w14:paraId="73BEAF10">
            <w:pPr>
              <w:jc w:val="center"/>
            </w:pPr>
            <w:r>
              <w:rPr>
                <w:rFonts w:hint="eastAsia"/>
              </w:rPr>
              <w:t>序号</w:t>
            </w:r>
          </w:p>
        </w:tc>
        <w:tc>
          <w:tcPr>
            <w:tcW w:w="1276" w:type="dxa"/>
            <w:vAlign w:val="center"/>
          </w:tcPr>
          <w:p w14:paraId="793992F3">
            <w:pPr>
              <w:jc w:val="center"/>
            </w:pPr>
            <w:r>
              <w:rPr>
                <w:rFonts w:hint="eastAsia"/>
              </w:rPr>
              <w:t>产品名称</w:t>
            </w:r>
          </w:p>
        </w:tc>
        <w:tc>
          <w:tcPr>
            <w:tcW w:w="8930" w:type="dxa"/>
            <w:vAlign w:val="center"/>
          </w:tcPr>
          <w:p w14:paraId="36A068EC">
            <w:pPr>
              <w:jc w:val="center"/>
            </w:pPr>
            <w:r>
              <w:rPr>
                <w:rFonts w:hint="eastAsia"/>
              </w:rPr>
              <w:t>招标参数</w:t>
            </w:r>
          </w:p>
        </w:tc>
        <w:tc>
          <w:tcPr>
            <w:tcW w:w="709" w:type="dxa"/>
            <w:vAlign w:val="center"/>
          </w:tcPr>
          <w:p w14:paraId="6119B347">
            <w:pPr>
              <w:jc w:val="center"/>
            </w:pPr>
            <w:r>
              <w:rPr>
                <w:rFonts w:hint="eastAsia"/>
              </w:rPr>
              <w:t>数量</w:t>
            </w:r>
          </w:p>
        </w:tc>
        <w:tc>
          <w:tcPr>
            <w:tcW w:w="1559" w:type="dxa"/>
            <w:vAlign w:val="center"/>
          </w:tcPr>
          <w:p w14:paraId="5C550FAC">
            <w:pPr>
              <w:jc w:val="center"/>
              <w:rPr>
                <w:rFonts w:hint="eastAsia"/>
              </w:rPr>
            </w:pPr>
            <w:r>
              <w:rPr>
                <w:rFonts w:hint="eastAsia"/>
              </w:rPr>
              <w:t>投标品牌</w:t>
            </w:r>
          </w:p>
        </w:tc>
        <w:tc>
          <w:tcPr>
            <w:tcW w:w="1276" w:type="dxa"/>
            <w:vAlign w:val="center"/>
          </w:tcPr>
          <w:p w14:paraId="26A7E9D0">
            <w:pPr>
              <w:jc w:val="center"/>
              <w:rPr>
                <w:rFonts w:hint="eastAsia"/>
              </w:rPr>
            </w:pPr>
            <w:r>
              <w:rPr>
                <w:rFonts w:hint="eastAsia"/>
              </w:rPr>
              <w:t>报价</w:t>
            </w:r>
          </w:p>
        </w:tc>
      </w:tr>
      <w:tr w14:paraId="16E2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4885" w:type="dxa"/>
            <w:gridSpan w:val="6"/>
            <w:noWrap/>
          </w:tcPr>
          <w:p w14:paraId="6B5F4EE8">
            <w:pPr>
              <w:rPr>
                <w:rFonts w:hint="eastAsia"/>
              </w:rPr>
            </w:pPr>
            <w:r>
              <w:rPr>
                <w:rFonts w:hint="eastAsia"/>
              </w:rPr>
              <w:t>一、原有服务器升级</w:t>
            </w:r>
          </w:p>
        </w:tc>
      </w:tr>
      <w:tr w14:paraId="58B3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135" w:type="dxa"/>
            <w:noWrap/>
          </w:tcPr>
          <w:p w14:paraId="56CE61F6">
            <w:pPr>
              <w:jc w:val="center"/>
            </w:pPr>
            <w:r>
              <w:rPr>
                <w:rFonts w:hint="eastAsia"/>
              </w:rPr>
              <w:t>1</w:t>
            </w:r>
          </w:p>
        </w:tc>
        <w:tc>
          <w:tcPr>
            <w:tcW w:w="1276" w:type="dxa"/>
            <w:vAlign w:val="center"/>
          </w:tcPr>
          <w:p w14:paraId="297E80C3">
            <w:pPr>
              <w:jc w:val="center"/>
            </w:pPr>
            <w:r>
              <w:rPr>
                <w:rFonts w:hint="eastAsia"/>
              </w:rPr>
              <w:t>CPU</w:t>
            </w:r>
          </w:p>
        </w:tc>
        <w:tc>
          <w:tcPr>
            <w:tcW w:w="8930" w:type="dxa"/>
            <w:vAlign w:val="center"/>
          </w:tcPr>
          <w:p w14:paraId="13AD9553">
            <w:r>
              <w:rPr>
                <w:rFonts w:hint="eastAsia"/>
              </w:rPr>
              <w:t>英特尔至强银牌4314（16C,185W,2.4GHz） 处理器</w:t>
            </w:r>
          </w:p>
        </w:tc>
        <w:tc>
          <w:tcPr>
            <w:tcW w:w="709" w:type="dxa"/>
            <w:vAlign w:val="center"/>
          </w:tcPr>
          <w:p w14:paraId="5556C2CB">
            <w:pPr>
              <w:jc w:val="center"/>
            </w:pPr>
            <w:r>
              <w:rPr>
                <w:rFonts w:hint="eastAsia"/>
              </w:rPr>
              <w:t>1</w:t>
            </w:r>
          </w:p>
        </w:tc>
        <w:tc>
          <w:tcPr>
            <w:tcW w:w="1559" w:type="dxa"/>
            <w:vAlign w:val="center"/>
          </w:tcPr>
          <w:p w14:paraId="44BAC612">
            <w:pPr>
              <w:jc w:val="center"/>
              <w:rPr>
                <w:rFonts w:hint="eastAsia"/>
              </w:rPr>
            </w:pPr>
          </w:p>
        </w:tc>
        <w:tc>
          <w:tcPr>
            <w:tcW w:w="1276" w:type="dxa"/>
            <w:vAlign w:val="center"/>
          </w:tcPr>
          <w:p w14:paraId="4881B1D2">
            <w:pPr>
              <w:jc w:val="center"/>
              <w:rPr>
                <w:rFonts w:hint="eastAsia"/>
              </w:rPr>
            </w:pPr>
          </w:p>
        </w:tc>
      </w:tr>
      <w:tr w14:paraId="46C2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135" w:type="dxa"/>
            <w:noWrap/>
          </w:tcPr>
          <w:p w14:paraId="15629DF4">
            <w:pPr>
              <w:jc w:val="center"/>
            </w:pPr>
            <w:r>
              <w:rPr>
                <w:rFonts w:hint="eastAsia"/>
              </w:rPr>
              <w:t>2</w:t>
            </w:r>
          </w:p>
        </w:tc>
        <w:tc>
          <w:tcPr>
            <w:tcW w:w="1276" w:type="dxa"/>
            <w:vAlign w:val="center"/>
          </w:tcPr>
          <w:p w14:paraId="1E262461">
            <w:pPr>
              <w:jc w:val="center"/>
            </w:pPr>
            <w:r>
              <w:rPr>
                <w:rFonts w:hint="eastAsia"/>
              </w:rPr>
              <w:t>内存</w:t>
            </w:r>
          </w:p>
        </w:tc>
        <w:tc>
          <w:tcPr>
            <w:tcW w:w="8930" w:type="dxa"/>
            <w:vAlign w:val="center"/>
          </w:tcPr>
          <w:p w14:paraId="12865486">
            <w:r>
              <w:rPr>
                <w:rFonts w:hint="eastAsia"/>
              </w:rPr>
              <w:t>32G DDR4  3200MHZ   ，支持ECC</w:t>
            </w:r>
          </w:p>
        </w:tc>
        <w:tc>
          <w:tcPr>
            <w:tcW w:w="709" w:type="dxa"/>
            <w:vAlign w:val="center"/>
          </w:tcPr>
          <w:p w14:paraId="46058F8A">
            <w:pPr>
              <w:jc w:val="center"/>
            </w:pPr>
            <w:r>
              <w:rPr>
                <w:rFonts w:hint="eastAsia"/>
              </w:rPr>
              <w:t>1</w:t>
            </w:r>
          </w:p>
        </w:tc>
        <w:tc>
          <w:tcPr>
            <w:tcW w:w="1559" w:type="dxa"/>
            <w:vAlign w:val="center"/>
          </w:tcPr>
          <w:p w14:paraId="17152CF6">
            <w:pPr>
              <w:jc w:val="center"/>
              <w:rPr>
                <w:rFonts w:hint="eastAsia"/>
              </w:rPr>
            </w:pPr>
          </w:p>
        </w:tc>
        <w:tc>
          <w:tcPr>
            <w:tcW w:w="1276" w:type="dxa"/>
            <w:vAlign w:val="center"/>
          </w:tcPr>
          <w:p w14:paraId="07CED5A7">
            <w:pPr>
              <w:jc w:val="center"/>
              <w:rPr>
                <w:rFonts w:hint="eastAsia"/>
              </w:rPr>
            </w:pPr>
          </w:p>
        </w:tc>
      </w:tr>
      <w:tr w14:paraId="273F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135" w:type="dxa"/>
            <w:noWrap/>
          </w:tcPr>
          <w:p w14:paraId="6181F299">
            <w:pPr>
              <w:jc w:val="center"/>
            </w:pPr>
            <w:r>
              <w:rPr>
                <w:rFonts w:hint="eastAsia"/>
              </w:rPr>
              <w:t>3</w:t>
            </w:r>
          </w:p>
        </w:tc>
        <w:tc>
          <w:tcPr>
            <w:tcW w:w="1276" w:type="dxa"/>
            <w:vAlign w:val="center"/>
          </w:tcPr>
          <w:p w14:paraId="3373AA0C">
            <w:pPr>
              <w:jc w:val="center"/>
            </w:pPr>
            <w:r>
              <w:rPr>
                <w:rFonts w:hint="eastAsia"/>
              </w:rPr>
              <w:t>网卡</w:t>
            </w:r>
          </w:p>
        </w:tc>
        <w:tc>
          <w:tcPr>
            <w:tcW w:w="8930" w:type="dxa"/>
            <w:vAlign w:val="center"/>
          </w:tcPr>
          <w:p w14:paraId="24B1E22C">
            <w:r>
              <w:rPr>
                <w:rFonts w:hint="eastAsia"/>
              </w:rPr>
              <w:t>适用于浪潮M5/M6的万兆双口光口网卡（PCIe接口，配多模光模块及配套跳纤）</w:t>
            </w:r>
          </w:p>
        </w:tc>
        <w:tc>
          <w:tcPr>
            <w:tcW w:w="709" w:type="dxa"/>
            <w:vAlign w:val="center"/>
          </w:tcPr>
          <w:p w14:paraId="31A30CC1">
            <w:pPr>
              <w:jc w:val="center"/>
            </w:pPr>
            <w:r>
              <w:rPr>
                <w:rFonts w:hint="eastAsia"/>
              </w:rPr>
              <w:t>1</w:t>
            </w:r>
          </w:p>
        </w:tc>
        <w:tc>
          <w:tcPr>
            <w:tcW w:w="1559" w:type="dxa"/>
            <w:vAlign w:val="center"/>
          </w:tcPr>
          <w:p w14:paraId="2CEA5B8E">
            <w:pPr>
              <w:jc w:val="center"/>
              <w:rPr>
                <w:rFonts w:hint="eastAsia"/>
              </w:rPr>
            </w:pPr>
          </w:p>
        </w:tc>
        <w:tc>
          <w:tcPr>
            <w:tcW w:w="1276" w:type="dxa"/>
            <w:vAlign w:val="center"/>
          </w:tcPr>
          <w:p w14:paraId="20EBAE59">
            <w:pPr>
              <w:jc w:val="center"/>
              <w:rPr>
                <w:rFonts w:hint="eastAsia"/>
              </w:rPr>
            </w:pPr>
          </w:p>
        </w:tc>
      </w:tr>
      <w:tr w14:paraId="39FC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341" w:type="dxa"/>
            <w:gridSpan w:val="3"/>
            <w:noWrap/>
          </w:tcPr>
          <w:p w14:paraId="7E0D6EC5">
            <w:r>
              <w:rPr>
                <w:rFonts w:hint="eastAsia"/>
              </w:rPr>
              <w:t>二、新建存储部分</w:t>
            </w:r>
          </w:p>
        </w:tc>
        <w:tc>
          <w:tcPr>
            <w:tcW w:w="3544" w:type="dxa"/>
            <w:gridSpan w:val="3"/>
            <w:noWrap/>
          </w:tcPr>
          <w:p w14:paraId="7CC18A16">
            <w:pPr>
              <w:rPr>
                <w:rFonts w:hint="eastAsia"/>
              </w:rPr>
            </w:pPr>
            <w:r>
              <w:rPr>
                <w:rFonts w:hint="eastAsia"/>
              </w:rPr>
              <w:t>　</w:t>
            </w:r>
          </w:p>
        </w:tc>
      </w:tr>
      <w:tr w14:paraId="72A8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1" w:hRule="atLeast"/>
        </w:trPr>
        <w:tc>
          <w:tcPr>
            <w:tcW w:w="1135" w:type="dxa"/>
            <w:noWrap/>
            <w:vAlign w:val="center"/>
          </w:tcPr>
          <w:p w14:paraId="571CFAC6">
            <w:pPr>
              <w:jc w:val="center"/>
            </w:pPr>
            <w:r>
              <w:rPr>
                <w:rFonts w:hint="eastAsia"/>
              </w:rPr>
              <w:t>4</w:t>
            </w:r>
          </w:p>
        </w:tc>
        <w:tc>
          <w:tcPr>
            <w:tcW w:w="1276" w:type="dxa"/>
            <w:vAlign w:val="center"/>
          </w:tcPr>
          <w:p w14:paraId="2757944D">
            <w:pPr>
              <w:jc w:val="center"/>
            </w:pPr>
            <w:r>
              <w:rPr>
                <w:rFonts w:hint="eastAsia"/>
              </w:rPr>
              <w:t>交换机</w:t>
            </w:r>
          </w:p>
        </w:tc>
        <w:tc>
          <w:tcPr>
            <w:tcW w:w="8930" w:type="dxa"/>
          </w:tcPr>
          <w:p w14:paraId="41DE61EC">
            <w:r>
              <w:rPr>
                <w:rFonts w:hint="eastAsia"/>
              </w:rPr>
              <w:t>1、交换容量≥2.56Tbps，包转发率≥720Mpps。</w:t>
            </w:r>
            <w:r>
              <w:rPr>
                <w:rFonts w:hint="eastAsia"/>
              </w:rPr>
              <w:br w:type="textWrapping"/>
            </w:r>
            <w:r>
              <w:rPr>
                <w:rFonts w:hint="eastAsia"/>
              </w:rPr>
              <w:t>2、接口：≥24个万兆SFP+口，≥2个QSFP+光口。</w:t>
            </w:r>
            <w:r>
              <w:rPr>
                <w:rFonts w:hint="eastAsia"/>
              </w:rPr>
              <w:br w:type="textWrapping"/>
            </w:r>
            <w:r>
              <w:rPr>
                <w:rFonts w:hint="eastAsia"/>
              </w:rPr>
              <w:t>3、支持VxLAN二层交换，支持VxLAN路由交换，支持VxLAN网关。</w:t>
            </w:r>
            <w:r>
              <w:rPr>
                <w:rFonts w:hint="eastAsia"/>
              </w:rPr>
              <w:br w:type="textWrapping"/>
            </w:r>
            <w:r>
              <w:rPr>
                <w:rFonts w:hint="eastAsia"/>
              </w:rPr>
              <w:t>4、支持Macsec链路保护协议，保障业务的安全可靠；</w:t>
            </w:r>
            <w:r>
              <w:rPr>
                <w:rFonts w:hint="eastAsia"/>
              </w:rPr>
              <w:br w:type="textWrapping"/>
            </w:r>
            <w:r>
              <w:rPr>
                <w:rFonts w:hint="eastAsia"/>
              </w:rPr>
              <w:t>5、支持IPv4、IPv6静态路由，RIP等三层动态路由协议，支持等价路由、VRRP、OSPFv1/v2、OSPF v3、BGP、ISIS等增强三层路由协议。</w:t>
            </w:r>
            <w:r>
              <w:rPr>
                <w:rFonts w:hint="eastAsia"/>
              </w:rPr>
              <w:br w:type="textWrapping"/>
            </w:r>
            <w:r>
              <w:rPr>
                <w:rFonts w:hint="eastAsia"/>
              </w:rPr>
              <w:t>6、支持STP/RSTP/MSTP协议，支持ERPS以太环保护协议（G.8032）。</w:t>
            </w:r>
            <w:r>
              <w:rPr>
                <w:rFonts w:hint="eastAsia"/>
              </w:rPr>
              <w:br w:type="textWrapping"/>
            </w:r>
            <w:r>
              <w:rPr>
                <w:rFonts w:hint="eastAsia"/>
              </w:rPr>
              <w:t>7、支持命令行接口（CLI）配置，支持Telnet、SSH远程配置。</w:t>
            </w:r>
            <w:r>
              <w:rPr>
                <w:rFonts w:hint="eastAsia"/>
              </w:rPr>
              <w:br w:type="textWrapping"/>
            </w:r>
            <w:r>
              <w:rPr>
                <w:rFonts w:hint="eastAsia"/>
              </w:rPr>
              <w:t>8、配双电源，双风扇模块。</w:t>
            </w:r>
          </w:p>
        </w:tc>
        <w:tc>
          <w:tcPr>
            <w:tcW w:w="709" w:type="dxa"/>
            <w:vAlign w:val="center"/>
          </w:tcPr>
          <w:p w14:paraId="5930CEAA">
            <w:pPr>
              <w:jc w:val="center"/>
            </w:pPr>
            <w:r>
              <w:rPr>
                <w:rFonts w:hint="eastAsia"/>
              </w:rPr>
              <w:t>1</w:t>
            </w:r>
          </w:p>
        </w:tc>
        <w:tc>
          <w:tcPr>
            <w:tcW w:w="1559" w:type="dxa"/>
            <w:vAlign w:val="center"/>
          </w:tcPr>
          <w:p w14:paraId="3CAC011D">
            <w:pPr>
              <w:jc w:val="center"/>
              <w:rPr>
                <w:rFonts w:hint="eastAsia"/>
              </w:rPr>
            </w:pPr>
          </w:p>
        </w:tc>
        <w:tc>
          <w:tcPr>
            <w:tcW w:w="1276" w:type="dxa"/>
            <w:vAlign w:val="center"/>
          </w:tcPr>
          <w:p w14:paraId="2BFC0780">
            <w:pPr>
              <w:jc w:val="center"/>
              <w:rPr>
                <w:rFonts w:hint="eastAsia"/>
              </w:rPr>
            </w:pPr>
          </w:p>
        </w:tc>
      </w:tr>
      <w:tr w14:paraId="1848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0" w:hRule="atLeast"/>
        </w:trPr>
        <w:tc>
          <w:tcPr>
            <w:tcW w:w="1135" w:type="dxa"/>
            <w:noWrap/>
            <w:vAlign w:val="center"/>
          </w:tcPr>
          <w:p w14:paraId="68EFFC79">
            <w:pPr>
              <w:jc w:val="center"/>
            </w:pPr>
            <w:r>
              <w:rPr>
                <w:rFonts w:hint="eastAsia"/>
              </w:rPr>
              <w:t>5</w:t>
            </w:r>
          </w:p>
        </w:tc>
        <w:tc>
          <w:tcPr>
            <w:tcW w:w="1276" w:type="dxa"/>
            <w:vAlign w:val="center"/>
          </w:tcPr>
          <w:p w14:paraId="18545568">
            <w:pPr>
              <w:jc w:val="center"/>
            </w:pPr>
            <w:r>
              <w:rPr>
                <w:rFonts w:hint="eastAsia"/>
              </w:rPr>
              <w:t>存储系统</w:t>
            </w:r>
          </w:p>
        </w:tc>
        <w:tc>
          <w:tcPr>
            <w:tcW w:w="8930" w:type="dxa"/>
          </w:tcPr>
          <w:p w14:paraId="0FB5E72D">
            <w:r>
              <w:rPr>
                <w:rFonts w:hint="eastAsia"/>
              </w:rPr>
              <w:t>一、存储平台：</w:t>
            </w:r>
            <w:r>
              <w:rPr>
                <w:rFonts w:hint="eastAsia"/>
              </w:rPr>
              <w:br w:type="textWrapping"/>
            </w:r>
            <w:r>
              <w:rPr>
                <w:rFonts w:hint="eastAsia"/>
              </w:rPr>
              <w:t>1、不少于16个热插拔磁盘位，兼容2.5寸和3.5寸硬盘，支持SSD,SAS和SATA硬盘混插。</w:t>
            </w:r>
            <w:r>
              <w:rPr>
                <w:rFonts w:hint="eastAsia"/>
              </w:rPr>
              <w:br w:type="textWrapping"/>
            </w:r>
            <w:r>
              <w:rPr>
                <w:rFonts w:hint="eastAsia"/>
              </w:rPr>
              <w:t>2、控制器主频不低于3.0GHz、8核、16线程；不低于32GB缓存，1+1 冗余电源。</w:t>
            </w:r>
            <w:r>
              <w:rPr>
                <w:rFonts w:hint="eastAsia"/>
              </w:rPr>
              <w:br w:type="textWrapping"/>
            </w:r>
            <w:r>
              <w:rPr>
                <w:rFonts w:hint="eastAsia"/>
              </w:rPr>
              <w:t>3、不少于2个10/100/1000MB自适应以太网接口（RJ-45），4个万兆以太网接口，4个SFP+光模块，4根5米光缆，OM3标准，LC-LC接口，多模光纤线。</w:t>
            </w:r>
            <w:r>
              <w:rPr>
                <w:rFonts w:hint="eastAsia"/>
              </w:rPr>
              <w:br w:type="textWrapping"/>
            </w:r>
            <w:r>
              <w:rPr>
                <w:rFonts w:hint="eastAsia"/>
              </w:rPr>
              <w:t>4、支持存储扩容，可选配磁盘扩展柜（JBOD），可扩展硬盘数量≥128块。支持不同容量硬盘RAID。</w:t>
            </w:r>
            <w:r>
              <w:rPr>
                <w:rFonts w:hint="eastAsia"/>
              </w:rPr>
              <w:br w:type="textWrapping"/>
            </w:r>
            <w:r>
              <w:rPr>
                <w:rFonts w:hint="eastAsia"/>
              </w:rPr>
              <w:t>5、支持主机通道端口聚合功能。</w:t>
            </w:r>
            <w:r>
              <w:rPr>
                <w:rFonts w:hint="eastAsia"/>
              </w:rPr>
              <w:br w:type="textWrapping"/>
            </w:r>
            <w:r>
              <w:rPr>
                <w:rFonts w:hint="eastAsia"/>
              </w:rPr>
              <w:t>6、支持RAID 0/1/5/6/10/50/60。</w:t>
            </w:r>
            <w:r>
              <w:rPr>
                <w:rFonts w:hint="eastAsia"/>
              </w:rPr>
              <w:br w:type="textWrapping"/>
            </w:r>
            <w:r>
              <w:rPr>
                <w:rFonts w:hint="eastAsia"/>
              </w:rPr>
              <w:t>7、支持多种存储访问协议CIFS、NFS、ISCSI 、HTTP、FTP、AFP。</w:t>
            </w:r>
            <w:r>
              <w:rPr>
                <w:rFonts w:hint="eastAsia"/>
              </w:rPr>
              <w:br w:type="textWrapping"/>
            </w:r>
            <w:r>
              <w:rPr>
                <w:rFonts w:hint="eastAsia"/>
              </w:rPr>
              <w:t>8、具备磁盘故障预测功能，能自动诊断存储系统硬盘、网络、raid组的异常和报警。</w:t>
            </w:r>
            <w:r>
              <w:rPr>
                <w:rFonts w:hint="eastAsia"/>
              </w:rPr>
              <w:br w:type="textWrapping"/>
            </w:r>
            <w:r>
              <w:rPr>
                <w:rFonts w:hint="eastAsia"/>
              </w:rPr>
              <w:t>9、配置不少于2块240G 企业级SSD系统盘，不少于16块3.5英寸 7.2K 14TB企业级硬盘，物理容量不低于224TB。</w:t>
            </w:r>
            <w:r>
              <w:rPr>
                <w:rFonts w:hint="eastAsia"/>
              </w:rPr>
              <w:br w:type="textWrapping"/>
            </w:r>
            <w:r>
              <w:rPr>
                <w:rFonts w:hint="eastAsia"/>
              </w:rPr>
              <w:t>二、存储管理系统软件</w:t>
            </w:r>
            <w:r>
              <w:rPr>
                <w:rFonts w:hint="eastAsia"/>
              </w:rPr>
              <w:br w:type="textWrapping"/>
            </w:r>
            <w:r>
              <w:rPr>
                <w:rFonts w:hint="eastAsia"/>
              </w:rPr>
              <w:t>存储管理系统软件：</w:t>
            </w:r>
            <w:r>
              <w:rPr>
                <w:rFonts w:hint="eastAsia"/>
              </w:rPr>
              <w:br w:type="textWrapping"/>
            </w:r>
            <w:r>
              <w:rPr>
                <w:rFonts w:hint="eastAsia"/>
              </w:rPr>
              <w:t>1、适用于视频录播存储。存储共享文件系统支持多用户同时访问同一个文件。</w:t>
            </w:r>
            <w:r>
              <w:rPr>
                <w:rFonts w:hint="eastAsia"/>
              </w:rPr>
              <w:br w:type="textWrapping"/>
            </w:r>
            <w:r>
              <w:rPr>
                <w:rFonts w:hint="eastAsia"/>
              </w:rPr>
              <w:t>2、支持标清、高清、2K、4K、8K等多格式原码（RAW等）或压缩视频（H.263、H.264、H.265、MP4、WMV等）25I/P、30I/P、50 I/P、60 I/P、120P等多帧率混合储存。</w:t>
            </w:r>
            <w:r>
              <w:rPr>
                <w:rFonts w:hint="eastAsia"/>
              </w:rPr>
              <w:br w:type="textWrapping"/>
            </w:r>
            <w:r>
              <w:rPr>
                <w:rFonts w:hint="eastAsia"/>
              </w:rPr>
              <w:t>3、具有带宽限制功能，可对每个客户端进行带宽阈值限制。</w:t>
            </w:r>
            <w:r>
              <w:rPr>
                <w:rFonts w:hint="eastAsia"/>
              </w:rPr>
              <w:br w:type="textWrapping"/>
            </w:r>
            <w:r>
              <w:rPr>
                <w:rFonts w:hint="eastAsia"/>
              </w:rPr>
              <w:t>4、具有数据复制功能，可创建数据复制任务，设置任务名称、源路径、目标路径等。</w:t>
            </w:r>
            <w:r>
              <w:rPr>
                <w:rFonts w:hint="eastAsia"/>
              </w:rPr>
              <w:br w:type="textWrapping"/>
            </w:r>
            <w:r>
              <w:rPr>
                <w:rFonts w:hint="eastAsia"/>
              </w:rPr>
              <w:t>5、具备访问控制功能，可配置固定IP地址或者IP地址段访问存储，未在白名单内的IP无法访问存储。</w:t>
            </w:r>
            <w:r>
              <w:rPr>
                <w:rFonts w:hint="eastAsia"/>
              </w:rPr>
              <w:br w:type="textWrapping"/>
            </w:r>
            <w:r>
              <w:rPr>
                <w:rFonts w:hint="eastAsia"/>
              </w:rPr>
              <w:t>6、具有用户操作行为日志功能。</w:t>
            </w:r>
            <w:r>
              <w:rPr>
                <w:rFonts w:hint="eastAsia"/>
              </w:rPr>
              <w:br w:type="textWrapping"/>
            </w:r>
            <w:r>
              <w:rPr>
                <w:rFonts w:hint="eastAsia"/>
              </w:rPr>
              <w:t>7、具有用户管理功能，支持多用户。</w:t>
            </w:r>
            <w:r>
              <w:rPr>
                <w:rFonts w:hint="eastAsia"/>
              </w:rPr>
              <w:br w:type="textWrapping"/>
            </w:r>
            <w:r>
              <w:rPr>
                <w:rFonts w:hint="eastAsia"/>
              </w:rPr>
              <w:t>8、具有存储数据的恢复及管理功能。文件误删除时，可恢复误删除的文件，确保数据使用安全。</w:t>
            </w:r>
            <w:r>
              <w:rPr>
                <w:rFonts w:hint="eastAsia"/>
              </w:rPr>
              <w:br w:type="textWrapping"/>
            </w:r>
            <w:r>
              <w:rPr>
                <w:rFonts w:hint="eastAsia"/>
              </w:rPr>
              <w:t>9、具有数据分析功能，分析存储内文件类型分布、文件大小分析、用户容量分析等。</w:t>
            </w:r>
            <w:r>
              <w:rPr>
                <w:rFonts w:hint="eastAsia"/>
              </w:rPr>
              <w:br w:type="textWrapping"/>
            </w:r>
            <w:r>
              <w:rPr>
                <w:rFonts w:hint="eastAsia"/>
              </w:rPr>
              <w:t>10、具有资源文件检索功能，支持文件名称、文件内容、指定用户、指定文件大小范围等进行精准设置，支持对指定时间范围、指定目录、指定文件类型等进行检索。</w:t>
            </w:r>
          </w:p>
        </w:tc>
        <w:tc>
          <w:tcPr>
            <w:tcW w:w="709" w:type="dxa"/>
            <w:vAlign w:val="center"/>
          </w:tcPr>
          <w:p w14:paraId="5F67B591">
            <w:pPr>
              <w:jc w:val="center"/>
            </w:pPr>
            <w:r>
              <w:rPr>
                <w:rFonts w:hint="eastAsia"/>
              </w:rPr>
              <w:t>1</w:t>
            </w:r>
          </w:p>
        </w:tc>
        <w:tc>
          <w:tcPr>
            <w:tcW w:w="1559" w:type="dxa"/>
            <w:vAlign w:val="center"/>
          </w:tcPr>
          <w:p w14:paraId="21720E63">
            <w:pPr>
              <w:jc w:val="center"/>
              <w:rPr>
                <w:rFonts w:hint="eastAsia"/>
              </w:rPr>
            </w:pPr>
          </w:p>
        </w:tc>
        <w:tc>
          <w:tcPr>
            <w:tcW w:w="1276" w:type="dxa"/>
            <w:vAlign w:val="center"/>
          </w:tcPr>
          <w:p w14:paraId="17AC3179">
            <w:pPr>
              <w:jc w:val="center"/>
              <w:rPr>
                <w:rFonts w:hint="eastAsia"/>
              </w:rPr>
            </w:pPr>
          </w:p>
        </w:tc>
      </w:tr>
      <w:tr w14:paraId="7E8E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605" w:type="dxa"/>
            <w:gridSpan w:val="5"/>
            <w:vAlign w:val="center"/>
          </w:tcPr>
          <w:p w14:paraId="0B5977D1">
            <w:pPr>
              <w:jc w:val="center"/>
              <w:rPr>
                <w:rFonts w:hint="eastAsia"/>
              </w:rPr>
            </w:pPr>
            <w:r>
              <w:rPr>
                <w:rFonts w:hint="eastAsia"/>
              </w:rPr>
              <w:t>合  计</w:t>
            </w:r>
          </w:p>
        </w:tc>
        <w:tc>
          <w:tcPr>
            <w:tcW w:w="1280" w:type="dxa"/>
            <w:vAlign w:val="center"/>
          </w:tcPr>
          <w:p w14:paraId="2C9F6C30">
            <w:pPr>
              <w:jc w:val="center"/>
              <w:rPr>
                <w:rFonts w:hint="eastAsia"/>
              </w:rPr>
            </w:pPr>
          </w:p>
        </w:tc>
      </w:tr>
    </w:tbl>
    <w:p w14:paraId="42BA06CD">
      <w:pPr>
        <w:spacing w:line="400" w:lineRule="exact"/>
        <w:ind w:firstLine="420" w:firstLineChars="200"/>
        <w:jc w:val="right"/>
        <w:rPr>
          <w:rFonts w:ascii="Arial" w:hAnsi="Arial" w:eastAsia="宋体" w:cs="Times New Roman"/>
          <w:szCs w:val="21"/>
        </w:rPr>
      </w:pPr>
      <w:r>
        <w:rPr>
          <w:rFonts w:hint="eastAsia" w:ascii="Arial" w:hAnsi="Arial" w:eastAsia="宋体" w:cs="Times New Roman"/>
          <w:szCs w:val="21"/>
        </w:rPr>
        <w:t>供应商名称（公章）：</w:t>
      </w:r>
    </w:p>
    <w:p w14:paraId="40827A1E">
      <w:pPr>
        <w:spacing w:line="400" w:lineRule="exact"/>
        <w:ind w:firstLine="420" w:firstLineChars="200"/>
        <w:jc w:val="right"/>
        <w:rPr>
          <w:rFonts w:ascii="Arial" w:hAnsi="Arial" w:eastAsia="宋体" w:cs="Times New Roman"/>
          <w:szCs w:val="21"/>
          <w:u w:val="single"/>
        </w:rPr>
      </w:pPr>
      <w:r>
        <w:rPr>
          <w:rFonts w:hint="eastAsia" w:ascii="Arial" w:hAnsi="Arial" w:eastAsia="宋体" w:cs="Times New Roman"/>
          <w:szCs w:val="21"/>
        </w:rPr>
        <w:t>供应商授权代表姓名（签字或签章）：</w:t>
      </w:r>
    </w:p>
    <w:p w14:paraId="48765203">
      <w:pPr>
        <w:spacing w:line="400" w:lineRule="exact"/>
        <w:jc w:val="right"/>
      </w:pPr>
      <w:r>
        <w:rPr>
          <w:rFonts w:hint="eastAsia" w:ascii="Arial" w:hAnsi="Arial" w:eastAsia="宋体" w:cs="Times New Roman"/>
          <w:szCs w:val="21"/>
        </w:rPr>
        <w:t>日期：  年  月  日</w:t>
      </w:r>
    </w:p>
    <w:sectPr>
      <w:pgSz w:w="16838" w:h="11906" w:orient="landscape"/>
      <w:pgMar w:top="851" w:right="1440" w:bottom="51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05C"/>
    <w:rsid w:val="00005BAE"/>
    <w:rsid w:val="0001705C"/>
    <w:rsid w:val="000C0CA6"/>
    <w:rsid w:val="001013E4"/>
    <w:rsid w:val="00111C13"/>
    <w:rsid w:val="00165238"/>
    <w:rsid w:val="00186F3F"/>
    <w:rsid w:val="0020050B"/>
    <w:rsid w:val="003720E7"/>
    <w:rsid w:val="004D2337"/>
    <w:rsid w:val="0080447E"/>
    <w:rsid w:val="008C4360"/>
    <w:rsid w:val="00901E34"/>
    <w:rsid w:val="00910E1A"/>
    <w:rsid w:val="00954D38"/>
    <w:rsid w:val="0096169D"/>
    <w:rsid w:val="009916E7"/>
    <w:rsid w:val="009A6321"/>
    <w:rsid w:val="00A66AD3"/>
    <w:rsid w:val="00AC131C"/>
    <w:rsid w:val="00B71BC8"/>
    <w:rsid w:val="00BB4179"/>
    <w:rsid w:val="00BD4A8C"/>
    <w:rsid w:val="00CC2549"/>
    <w:rsid w:val="00D76C9C"/>
    <w:rsid w:val="00EC56BD"/>
    <w:rsid w:val="00ED18E4"/>
    <w:rsid w:val="00EE268B"/>
    <w:rsid w:val="00F27F1E"/>
    <w:rsid w:val="49A74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uiPriority w:val="99"/>
    <w:rPr>
      <w:sz w:val="18"/>
      <w:szCs w:val="18"/>
    </w:rPr>
  </w:style>
  <w:style w:type="character" w:customStyle="1" w:styleId="8">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1344</Words>
  <Characters>1634</Characters>
  <Lines>13</Lines>
  <Paragraphs>3</Paragraphs>
  <TotalTime>0</TotalTime>
  <ScaleCrop>false</ScaleCrop>
  <LinksUpToDate>false</LinksUpToDate>
  <CharactersWithSpaces>1721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2026-10-27T06:59:00Z</dcterms:created>
  <dc:creator>ww</dc:creator>
  <cp:lastModifiedBy>六六</cp:lastModifiedBy>
  <dcterms:modified xsi:type="dcterms:W3CDTF">2026-10-27T08:27:23Z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5E71EB1FCE004D8BB27A1F4CC41625AC_13</vt:lpwstr>
  </property>
</Properties>
</file>